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4B60" w14:textId="77777777" w:rsidR="003243B7" w:rsidRPr="00AA6D7C" w:rsidRDefault="003243B7" w:rsidP="003243B7">
      <w:pPr>
        <w:pStyle w:val="msoorganizationname2"/>
        <w:widowControl w:val="0"/>
        <w:jc w:val="center"/>
        <w:rPr>
          <w:b/>
          <w:bCs/>
          <w:smallCaps/>
          <w:color w:val="00B050"/>
          <w:sz w:val="36"/>
          <w:szCs w:val="36"/>
        </w:rPr>
      </w:pPr>
      <w:r w:rsidRPr="00AA6D7C">
        <w:rPr>
          <w:b/>
          <w:bCs/>
          <w:smallCaps/>
          <w:color w:val="00B050"/>
          <w:sz w:val="36"/>
          <w:szCs w:val="36"/>
        </w:rPr>
        <w:t xml:space="preserve">Broughton Playing Fields &amp; Village </w:t>
      </w:r>
      <w:smartTag w:uri="urn:schemas-microsoft-com:office:smarttags" w:element="stockticker">
        <w:r w:rsidRPr="00AA6D7C">
          <w:rPr>
            <w:b/>
            <w:bCs/>
            <w:smallCaps/>
            <w:color w:val="00B050"/>
            <w:sz w:val="36"/>
            <w:szCs w:val="36"/>
          </w:rPr>
          <w:t>Hall</w:t>
        </w:r>
      </w:smartTag>
      <w:r w:rsidRPr="00AA6D7C">
        <w:rPr>
          <w:b/>
          <w:bCs/>
          <w:smallCaps/>
          <w:color w:val="00B050"/>
          <w:sz w:val="36"/>
          <w:szCs w:val="36"/>
        </w:rPr>
        <w:t xml:space="preserve"> Association</w:t>
      </w:r>
    </w:p>
    <w:p w14:paraId="780C5606" w14:textId="77777777" w:rsidR="003243B7" w:rsidRDefault="003243B7" w:rsidP="003243B7">
      <w:pPr>
        <w:pStyle w:val="msoaddress"/>
        <w:widowControl w:val="0"/>
        <w:rPr>
          <w:color w:val="008000"/>
        </w:rPr>
      </w:pPr>
    </w:p>
    <w:p w14:paraId="0C4D0E35" w14:textId="77777777" w:rsidR="003243B7" w:rsidRDefault="003243B7" w:rsidP="003243B7">
      <w:pPr>
        <w:pStyle w:val="msoaddress"/>
        <w:widowControl w:val="0"/>
        <w:rPr>
          <w:color w:val="008000"/>
        </w:rPr>
      </w:pPr>
    </w:p>
    <w:p w14:paraId="0326BBA2" w14:textId="77777777" w:rsidR="00FB75C4" w:rsidRDefault="00FB75C4" w:rsidP="003243B7">
      <w:pPr>
        <w:pStyle w:val="msoaddress"/>
        <w:widowControl w:val="0"/>
        <w:rPr>
          <w:color w:val="008000"/>
        </w:rPr>
      </w:pPr>
    </w:p>
    <w:p w14:paraId="7B85D2AF" w14:textId="79B54AC0" w:rsidR="00FB75C4" w:rsidRDefault="003243B7" w:rsidP="0076167F">
      <w:pPr>
        <w:pStyle w:val="msoaddress"/>
        <w:widowControl w:val="0"/>
        <w:jc w:val="center"/>
        <w:rPr>
          <w:b/>
          <w:color w:val="auto"/>
          <w:sz w:val="28"/>
          <w:szCs w:val="28"/>
        </w:rPr>
      </w:pPr>
      <w:r w:rsidRPr="003243B7">
        <w:rPr>
          <w:b/>
          <w:color w:val="auto"/>
          <w:sz w:val="28"/>
          <w:szCs w:val="28"/>
        </w:rPr>
        <w:t xml:space="preserve">EQUALITIES   POLICY </w:t>
      </w:r>
      <w:r w:rsidR="00FB75C4">
        <w:rPr>
          <w:b/>
          <w:color w:val="auto"/>
          <w:sz w:val="28"/>
          <w:szCs w:val="28"/>
        </w:rPr>
        <w:t xml:space="preserve"> </w:t>
      </w:r>
      <w:r w:rsidRPr="003243B7">
        <w:rPr>
          <w:b/>
          <w:color w:val="auto"/>
          <w:sz w:val="28"/>
          <w:szCs w:val="28"/>
        </w:rPr>
        <w:t xml:space="preserve"> STATEMENT</w:t>
      </w:r>
    </w:p>
    <w:p w14:paraId="57F08F17" w14:textId="77777777" w:rsidR="003243B7" w:rsidRDefault="003243B7" w:rsidP="003243B7">
      <w:pPr>
        <w:pStyle w:val="msoaddress"/>
        <w:widowControl w:val="0"/>
        <w:rPr>
          <w:b/>
          <w:color w:val="auto"/>
          <w:sz w:val="28"/>
          <w:szCs w:val="28"/>
        </w:rPr>
      </w:pPr>
    </w:p>
    <w:p w14:paraId="42AE4796" w14:textId="77777777" w:rsidR="00FB75C4" w:rsidRDefault="003243B7" w:rsidP="00567491">
      <w:pPr>
        <w:pStyle w:val="msoaddress"/>
        <w:widowControl w:val="0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 </w:t>
      </w:r>
      <w:r w:rsidRPr="003243B7">
        <w:rPr>
          <w:b/>
          <w:color w:val="auto"/>
          <w:sz w:val="24"/>
          <w:szCs w:val="24"/>
        </w:rPr>
        <w:t>Policy</w:t>
      </w:r>
    </w:p>
    <w:p w14:paraId="32FD245A" w14:textId="77777777" w:rsidR="003243B7" w:rsidRDefault="00567491" w:rsidP="00567491">
      <w:pPr>
        <w:pStyle w:val="msoaddress"/>
        <w:widowControl w:val="0"/>
        <w:rPr>
          <w:color w:val="auto"/>
          <w:sz w:val="24"/>
          <w:szCs w:val="24"/>
        </w:rPr>
      </w:pPr>
      <w:r w:rsidRPr="00567491">
        <w:rPr>
          <w:color w:val="auto"/>
          <w:sz w:val="24"/>
          <w:szCs w:val="24"/>
        </w:rPr>
        <w:t>1.</w:t>
      </w:r>
      <w:r>
        <w:rPr>
          <w:color w:val="auto"/>
          <w:sz w:val="24"/>
          <w:szCs w:val="24"/>
        </w:rPr>
        <w:t xml:space="preserve">1 </w:t>
      </w:r>
      <w:r w:rsidR="003243B7">
        <w:rPr>
          <w:color w:val="auto"/>
          <w:sz w:val="24"/>
          <w:szCs w:val="24"/>
        </w:rPr>
        <w:t xml:space="preserve">Broughton Playing Fields and Village Hall Association (BPF &amp; VHA) is committed to striving for equality of opportunity for its local community. This policy statement applies to all matters relating to </w:t>
      </w:r>
      <w:proofErr w:type="gramStart"/>
      <w:r w:rsidR="003243B7">
        <w:rPr>
          <w:color w:val="auto"/>
          <w:sz w:val="24"/>
          <w:szCs w:val="24"/>
        </w:rPr>
        <w:t>employment,  services</w:t>
      </w:r>
      <w:proofErr w:type="gramEnd"/>
      <w:r w:rsidR="00FB75C4">
        <w:rPr>
          <w:color w:val="auto"/>
          <w:sz w:val="24"/>
          <w:szCs w:val="24"/>
        </w:rPr>
        <w:t xml:space="preserve"> and facilities</w:t>
      </w:r>
      <w:r w:rsidR="003243B7">
        <w:rPr>
          <w:color w:val="auto"/>
          <w:sz w:val="24"/>
          <w:szCs w:val="24"/>
        </w:rPr>
        <w:t xml:space="preserve"> affecting individuals and groups</w:t>
      </w:r>
      <w:r>
        <w:rPr>
          <w:color w:val="auto"/>
          <w:sz w:val="24"/>
          <w:szCs w:val="24"/>
        </w:rPr>
        <w:t xml:space="preserve"> whether they are actual or potential employees, volunteers, users or suppliers.</w:t>
      </w:r>
    </w:p>
    <w:p w14:paraId="346868E3" w14:textId="77777777" w:rsidR="00FB75C4" w:rsidRDefault="00FB75C4" w:rsidP="00567491">
      <w:pPr>
        <w:pStyle w:val="msoaddress"/>
        <w:widowControl w:val="0"/>
        <w:rPr>
          <w:color w:val="auto"/>
          <w:sz w:val="24"/>
          <w:szCs w:val="24"/>
        </w:rPr>
      </w:pPr>
    </w:p>
    <w:p w14:paraId="248C9E4A" w14:textId="77777777" w:rsidR="00FB75C4" w:rsidRDefault="00567491" w:rsidP="00567491">
      <w:pPr>
        <w:pStyle w:val="msoaddress"/>
        <w:widowControl w:val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2 Aims and Objectives </w:t>
      </w:r>
    </w:p>
    <w:p w14:paraId="41A13DD9" w14:textId="77777777" w:rsidR="0053680B" w:rsidRDefault="00567491" w:rsidP="00567491">
      <w:pPr>
        <w:pStyle w:val="msoaddress"/>
        <w:widowControl w:val="0"/>
        <w:rPr>
          <w:color w:val="auto"/>
          <w:sz w:val="24"/>
          <w:szCs w:val="24"/>
        </w:rPr>
      </w:pPr>
      <w:r w:rsidRPr="00567491">
        <w:rPr>
          <w:color w:val="auto"/>
          <w:sz w:val="24"/>
          <w:szCs w:val="24"/>
        </w:rPr>
        <w:t>2.1</w:t>
      </w:r>
      <w:r>
        <w:rPr>
          <w:color w:val="auto"/>
          <w:sz w:val="24"/>
          <w:szCs w:val="24"/>
        </w:rPr>
        <w:t xml:space="preserve"> BPF &amp; VHA aims to manage, maintain and continuously improve the Playing Field and Village Hall for the use and benefit of </w:t>
      </w:r>
      <w:r w:rsidR="0053680B">
        <w:rPr>
          <w:color w:val="auto"/>
          <w:sz w:val="24"/>
          <w:szCs w:val="24"/>
        </w:rPr>
        <w:t>local residents</w:t>
      </w:r>
      <w:r>
        <w:rPr>
          <w:color w:val="auto"/>
          <w:sz w:val="24"/>
          <w:szCs w:val="24"/>
        </w:rPr>
        <w:t>, without distinction of political, religious or other opinions</w:t>
      </w:r>
      <w:r w:rsidR="0053680B">
        <w:rPr>
          <w:color w:val="auto"/>
          <w:sz w:val="24"/>
          <w:szCs w:val="24"/>
        </w:rPr>
        <w:t>, en</w:t>
      </w:r>
      <w:r>
        <w:rPr>
          <w:color w:val="auto"/>
          <w:sz w:val="24"/>
          <w:szCs w:val="24"/>
        </w:rPr>
        <w:t xml:space="preserve">suring that people are not disadvantaged because </w:t>
      </w:r>
      <w:r w:rsidR="0053680B">
        <w:rPr>
          <w:color w:val="auto"/>
          <w:sz w:val="24"/>
          <w:szCs w:val="24"/>
        </w:rPr>
        <w:t>of their gender, race, disability, sexual orientation, religion/belief or age.</w:t>
      </w:r>
    </w:p>
    <w:p w14:paraId="61CE73D0" w14:textId="77777777" w:rsidR="00567491" w:rsidRDefault="0053680B" w:rsidP="00567491">
      <w:pPr>
        <w:pStyle w:val="msoaddress"/>
        <w:widowContro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2.2 BPF &amp; VHA’s stated objective is to provide a resource </w:t>
      </w:r>
      <w:r w:rsidR="008D2D8A">
        <w:rPr>
          <w:color w:val="auto"/>
          <w:sz w:val="24"/>
          <w:szCs w:val="24"/>
        </w:rPr>
        <w:t>which is responsive to the changing needs of the local community</w:t>
      </w:r>
      <w:r w:rsidR="00623E2B">
        <w:rPr>
          <w:color w:val="auto"/>
          <w:sz w:val="24"/>
          <w:szCs w:val="24"/>
        </w:rPr>
        <w:t xml:space="preserve">, which </w:t>
      </w:r>
      <w:r w:rsidR="008D2D8A">
        <w:rPr>
          <w:color w:val="auto"/>
          <w:sz w:val="24"/>
          <w:szCs w:val="24"/>
        </w:rPr>
        <w:t>offer</w:t>
      </w:r>
      <w:r w:rsidR="00623E2B">
        <w:rPr>
          <w:color w:val="auto"/>
          <w:sz w:val="24"/>
          <w:szCs w:val="24"/>
        </w:rPr>
        <w:t>s</w:t>
      </w:r>
      <w:r>
        <w:rPr>
          <w:color w:val="auto"/>
          <w:sz w:val="24"/>
          <w:szCs w:val="24"/>
        </w:rPr>
        <w:t xml:space="preserve"> residents the opportunity to</w:t>
      </w:r>
      <w:r w:rsidR="008D2D8A">
        <w:rPr>
          <w:color w:val="auto"/>
          <w:sz w:val="24"/>
          <w:szCs w:val="24"/>
        </w:rPr>
        <w:t xml:space="preserve"> pursue their</w:t>
      </w:r>
      <w:r w:rsidR="00623E2B">
        <w:rPr>
          <w:color w:val="auto"/>
          <w:sz w:val="24"/>
          <w:szCs w:val="24"/>
        </w:rPr>
        <w:t xml:space="preserve"> </w:t>
      </w:r>
      <w:r w:rsidR="008D2D8A">
        <w:rPr>
          <w:color w:val="auto"/>
          <w:sz w:val="24"/>
          <w:szCs w:val="24"/>
        </w:rPr>
        <w:t>leisure and educational interests</w:t>
      </w:r>
      <w:r w:rsidR="00623E2B">
        <w:rPr>
          <w:color w:val="auto"/>
          <w:sz w:val="24"/>
          <w:szCs w:val="24"/>
        </w:rPr>
        <w:t xml:space="preserve">, </w:t>
      </w:r>
      <w:r w:rsidR="00504F64">
        <w:rPr>
          <w:color w:val="auto"/>
          <w:sz w:val="24"/>
          <w:szCs w:val="24"/>
        </w:rPr>
        <w:t>i</w:t>
      </w:r>
      <w:r>
        <w:rPr>
          <w:color w:val="auto"/>
          <w:sz w:val="24"/>
          <w:szCs w:val="24"/>
        </w:rPr>
        <w:t>mprov</w:t>
      </w:r>
      <w:r w:rsidR="00623E2B">
        <w:rPr>
          <w:color w:val="auto"/>
          <w:sz w:val="24"/>
          <w:szCs w:val="24"/>
        </w:rPr>
        <w:t>ing</w:t>
      </w:r>
      <w:r>
        <w:rPr>
          <w:color w:val="auto"/>
          <w:sz w:val="24"/>
          <w:szCs w:val="24"/>
        </w:rPr>
        <w:t xml:space="preserve"> their quality of life and in the interest of their health and well-being.</w:t>
      </w:r>
    </w:p>
    <w:p w14:paraId="483DE56D" w14:textId="77777777" w:rsidR="00FB75C4" w:rsidRDefault="00FB75C4" w:rsidP="00567491">
      <w:pPr>
        <w:pStyle w:val="msoaddress"/>
        <w:widowControl w:val="0"/>
        <w:rPr>
          <w:color w:val="auto"/>
          <w:sz w:val="24"/>
          <w:szCs w:val="24"/>
        </w:rPr>
      </w:pPr>
    </w:p>
    <w:p w14:paraId="099771E6" w14:textId="77777777" w:rsidR="00FB75C4" w:rsidRDefault="00623E2B" w:rsidP="00567491">
      <w:pPr>
        <w:pStyle w:val="msoaddress"/>
        <w:widowControl w:val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3 Context</w:t>
      </w:r>
    </w:p>
    <w:p w14:paraId="11F93C3B" w14:textId="77777777" w:rsidR="00623E2B" w:rsidRDefault="00623E2B" w:rsidP="00567491">
      <w:pPr>
        <w:pStyle w:val="msoaddress"/>
        <w:widowControl w:val="0"/>
        <w:rPr>
          <w:color w:val="auto"/>
          <w:sz w:val="24"/>
          <w:szCs w:val="24"/>
        </w:rPr>
      </w:pPr>
      <w:r w:rsidRPr="00623E2B">
        <w:rPr>
          <w:color w:val="auto"/>
          <w:sz w:val="24"/>
          <w:szCs w:val="24"/>
        </w:rPr>
        <w:t>3.1</w:t>
      </w:r>
      <w:r>
        <w:rPr>
          <w:color w:val="auto"/>
          <w:sz w:val="24"/>
          <w:szCs w:val="24"/>
        </w:rPr>
        <w:t xml:space="preserve"> This Equalities Policy Statement will provide the working framework which will guide and inform practice. It is set within the legal context of </w:t>
      </w:r>
      <w:r w:rsidR="00E23379">
        <w:rPr>
          <w:color w:val="auto"/>
          <w:sz w:val="24"/>
          <w:szCs w:val="24"/>
        </w:rPr>
        <w:t>the Equality Act, 2010.</w:t>
      </w:r>
    </w:p>
    <w:p w14:paraId="21885557" w14:textId="77777777" w:rsidR="00FB75C4" w:rsidRDefault="00FB75C4" w:rsidP="00567491">
      <w:pPr>
        <w:pStyle w:val="msoaddress"/>
        <w:widowControl w:val="0"/>
        <w:rPr>
          <w:color w:val="auto"/>
          <w:sz w:val="24"/>
          <w:szCs w:val="24"/>
        </w:rPr>
      </w:pPr>
    </w:p>
    <w:p w14:paraId="063E9D09" w14:textId="77777777" w:rsidR="00FB75C4" w:rsidRDefault="00E23379" w:rsidP="00567491">
      <w:pPr>
        <w:pStyle w:val="msoaddress"/>
        <w:widowControl w:val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4 Implementation</w:t>
      </w:r>
    </w:p>
    <w:p w14:paraId="2B1B1F1D" w14:textId="77777777" w:rsidR="00E23379" w:rsidRDefault="00E23379" w:rsidP="00567491">
      <w:pPr>
        <w:pStyle w:val="msoaddress"/>
        <w:widowContro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4.1 BPF &amp; VHA will treat all actual or potential employees, volunteers, service providers and users of the Playing Fields and Village Hall fairly, equally and with respect.</w:t>
      </w:r>
    </w:p>
    <w:p w14:paraId="4A8561E4" w14:textId="77777777" w:rsidR="00FB75C4" w:rsidRDefault="00FB75C4" w:rsidP="00567491">
      <w:pPr>
        <w:pStyle w:val="msoaddress"/>
        <w:widowContro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4.2 BPF &amp; VHA opposes all forms of unlawful discrimination and will take positive steps to ensure its policies, actions and facilities provide an inclusive environment </w:t>
      </w:r>
      <w:r w:rsidR="008700DE">
        <w:rPr>
          <w:color w:val="auto"/>
          <w:sz w:val="24"/>
          <w:szCs w:val="24"/>
        </w:rPr>
        <w:t>for employees, volunteers, service providers and users of the hall</w:t>
      </w:r>
      <w:r w:rsidR="002E360C">
        <w:rPr>
          <w:color w:val="auto"/>
          <w:sz w:val="24"/>
          <w:szCs w:val="24"/>
        </w:rPr>
        <w:t xml:space="preserve"> and playing fields.</w:t>
      </w:r>
      <w:r>
        <w:rPr>
          <w:color w:val="auto"/>
          <w:sz w:val="24"/>
          <w:szCs w:val="24"/>
        </w:rPr>
        <w:t xml:space="preserve">  </w:t>
      </w:r>
    </w:p>
    <w:p w14:paraId="7A09572B" w14:textId="77777777" w:rsidR="00E23379" w:rsidRDefault="00E23379" w:rsidP="00567491">
      <w:pPr>
        <w:pStyle w:val="msoaddress"/>
        <w:widowContro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4.2 BPF &amp; VHA will work pro-actively to make the premises fully accessible to all local residents, including </w:t>
      </w:r>
      <w:r w:rsidR="00067385">
        <w:rPr>
          <w:color w:val="auto"/>
          <w:sz w:val="24"/>
          <w:szCs w:val="24"/>
        </w:rPr>
        <w:t>disabled, elderly and young people, parents with pushchairs and suppliers.</w:t>
      </w:r>
    </w:p>
    <w:p w14:paraId="536209AD" w14:textId="77777777" w:rsidR="00567491" w:rsidRDefault="00067385" w:rsidP="00067385">
      <w:pPr>
        <w:pStyle w:val="msoaddress"/>
        <w:widowContro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4.3 BPF &amp; VHA will undertake to encourage activities which reflect the diverse needs and interests of the local community to promote the health and well-being of its residents and help combat isolation and loneliness. </w:t>
      </w:r>
    </w:p>
    <w:p w14:paraId="731A11D4" w14:textId="77777777" w:rsidR="00067385" w:rsidRPr="003243B7" w:rsidRDefault="00067385" w:rsidP="00067385">
      <w:pPr>
        <w:pStyle w:val="msoaddress"/>
        <w:widowContro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4.4 The development, implementation, monitoring and review of this Equalities Policy Statement is an ongoing process designed to ensure good practice and equality of opport</w:t>
      </w:r>
      <w:r w:rsidR="00FB75C4">
        <w:rPr>
          <w:color w:val="auto"/>
          <w:sz w:val="24"/>
          <w:szCs w:val="24"/>
        </w:rPr>
        <w:t>unity for all local residents.</w:t>
      </w:r>
    </w:p>
    <w:p w14:paraId="4A2AE601" w14:textId="77777777" w:rsidR="003243B7" w:rsidRDefault="003243B7" w:rsidP="003243B7">
      <w:pPr>
        <w:pStyle w:val="msoaddress"/>
        <w:widowControl w:val="0"/>
        <w:jc w:val="center"/>
        <w:rPr>
          <w:b/>
          <w:color w:val="auto"/>
          <w:sz w:val="24"/>
          <w:szCs w:val="24"/>
        </w:rPr>
      </w:pPr>
    </w:p>
    <w:p w14:paraId="6AC69518" w14:textId="2ECE286A" w:rsidR="008700DE" w:rsidRDefault="008700DE" w:rsidP="003243B7">
      <w:pPr>
        <w:pStyle w:val="msoaddress"/>
        <w:widowControl w:val="0"/>
        <w:jc w:val="center"/>
        <w:rPr>
          <w:b/>
          <w:i/>
          <w:iCs/>
          <w:color w:val="auto"/>
          <w:sz w:val="18"/>
          <w:szCs w:val="18"/>
        </w:rPr>
      </w:pPr>
      <w:r w:rsidRPr="0076167F">
        <w:rPr>
          <w:b/>
          <w:color w:val="auto"/>
        </w:rPr>
        <w:t xml:space="preserve">                                                                                         </w:t>
      </w:r>
      <w:r w:rsidR="0076167F">
        <w:rPr>
          <w:b/>
          <w:color w:val="auto"/>
        </w:rPr>
        <w:t xml:space="preserve">                                                                                </w:t>
      </w:r>
      <w:r w:rsidRPr="0076167F">
        <w:rPr>
          <w:b/>
          <w:color w:val="auto"/>
        </w:rPr>
        <w:t xml:space="preserve">     </w:t>
      </w:r>
      <w:r w:rsidR="0076167F" w:rsidRPr="0076167F">
        <w:rPr>
          <w:b/>
          <w:color w:val="auto"/>
        </w:rPr>
        <w:t xml:space="preserve">    </w:t>
      </w:r>
      <w:proofErr w:type="gramStart"/>
      <w:r w:rsidR="00B64CBE" w:rsidRPr="00B64CBE">
        <w:rPr>
          <w:b/>
          <w:i/>
          <w:iCs/>
          <w:color w:val="auto"/>
          <w:sz w:val="18"/>
          <w:szCs w:val="18"/>
        </w:rPr>
        <w:t>Reviewed</w:t>
      </w:r>
      <w:r w:rsidRPr="00B64CBE">
        <w:rPr>
          <w:b/>
          <w:i/>
          <w:iCs/>
          <w:color w:val="auto"/>
          <w:sz w:val="18"/>
          <w:szCs w:val="18"/>
        </w:rPr>
        <w:t xml:space="preserve"> </w:t>
      </w:r>
      <w:r w:rsidR="0076167F" w:rsidRPr="00B64CBE">
        <w:rPr>
          <w:b/>
          <w:i/>
          <w:iCs/>
          <w:color w:val="auto"/>
          <w:sz w:val="18"/>
          <w:szCs w:val="18"/>
        </w:rPr>
        <w:t>:</w:t>
      </w:r>
      <w:proofErr w:type="gramEnd"/>
      <w:r w:rsidR="0076167F" w:rsidRPr="00B64CBE">
        <w:rPr>
          <w:b/>
          <w:i/>
          <w:iCs/>
          <w:color w:val="auto"/>
          <w:sz w:val="18"/>
          <w:szCs w:val="18"/>
        </w:rPr>
        <w:t xml:space="preserve"> </w:t>
      </w:r>
      <w:r w:rsidR="00B64CBE" w:rsidRPr="00B64CBE">
        <w:rPr>
          <w:b/>
          <w:i/>
          <w:iCs/>
          <w:color w:val="auto"/>
          <w:sz w:val="18"/>
          <w:szCs w:val="18"/>
        </w:rPr>
        <w:t>October 2021</w:t>
      </w:r>
    </w:p>
    <w:p w14:paraId="35F12CD2" w14:textId="009C39AF" w:rsidR="00B64CBE" w:rsidRPr="00B64CBE" w:rsidRDefault="00B64CBE" w:rsidP="003243B7">
      <w:pPr>
        <w:pStyle w:val="msoaddress"/>
        <w:widowControl w:val="0"/>
        <w:jc w:val="center"/>
        <w:rPr>
          <w:b/>
          <w:i/>
          <w:iCs/>
          <w:color w:val="auto"/>
          <w:sz w:val="18"/>
          <w:szCs w:val="18"/>
        </w:rPr>
      </w:pPr>
      <w:r>
        <w:rPr>
          <w:b/>
          <w:i/>
          <w:iCs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 Next review: October 2023</w:t>
      </w:r>
    </w:p>
    <w:p w14:paraId="00D0A5CC" w14:textId="1F82993B" w:rsidR="003243B7" w:rsidRDefault="00235A81" w:rsidP="0023299F">
      <w:pPr>
        <w:pStyle w:val="msoaddress"/>
        <w:widowControl w:val="0"/>
        <w:jc w:val="center"/>
        <w:rPr>
          <w:b/>
          <w:color w:val="auto"/>
          <w:sz w:val="24"/>
          <w:szCs w:val="24"/>
        </w:rPr>
      </w:pPr>
      <w:r w:rsidRPr="0076167F">
        <w:rPr>
          <w:color w:val="auto"/>
        </w:rPr>
        <w:t xml:space="preserve">                                                                                                                              </w:t>
      </w:r>
      <w:r w:rsidR="0076167F">
        <w:rPr>
          <w:color w:val="auto"/>
        </w:rPr>
        <w:t xml:space="preserve">                                                          </w:t>
      </w:r>
      <w:r w:rsidRPr="0076167F">
        <w:rPr>
          <w:color w:val="auto"/>
        </w:rPr>
        <w:t xml:space="preserve"> </w:t>
      </w:r>
      <w:r w:rsidR="008700DE">
        <w:rPr>
          <w:b/>
          <w:color w:val="auto"/>
          <w:sz w:val="24"/>
          <w:szCs w:val="24"/>
        </w:rPr>
        <w:t xml:space="preserve">  </w:t>
      </w:r>
    </w:p>
    <w:p w14:paraId="5F753503" w14:textId="77777777" w:rsidR="008700DE" w:rsidRDefault="008700DE" w:rsidP="008700DE">
      <w:pPr>
        <w:pStyle w:val="msoaddress"/>
        <w:widowControl w:val="0"/>
        <w:rPr>
          <w:b/>
          <w:color w:val="auto"/>
          <w:sz w:val="24"/>
          <w:szCs w:val="24"/>
        </w:rPr>
      </w:pPr>
    </w:p>
    <w:p w14:paraId="2E7F8CE2" w14:textId="77777777" w:rsidR="003243B7" w:rsidRDefault="003243B7" w:rsidP="003243B7">
      <w:pPr>
        <w:pStyle w:val="msoaddress"/>
        <w:widowControl w:val="0"/>
        <w:jc w:val="center"/>
        <w:rPr>
          <w:b/>
          <w:color w:val="auto"/>
          <w:sz w:val="24"/>
          <w:szCs w:val="24"/>
        </w:rPr>
      </w:pPr>
    </w:p>
    <w:sectPr w:rsidR="003243B7" w:rsidSect="00235A81">
      <w:pgSz w:w="11906" w:h="16838"/>
      <w:pgMar w:top="720" w:right="720" w:bottom="27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B1B48"/>
    <w:multiLevelType w:val="multilevel"/>
    <w:tmpl w:val="7EC48D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6C50ED"/>
    <w:multiLevelType w:val="multilevel"/>
    <w:tmpl w:val="886C121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DB24421"/>
    <w:multiLevelType w:val="hybridMultilevel"/>
    <w:tmpl w:val="6958C880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3B7"/>
    <w:rsid w:val="00067385"/>
    <w:rsid w:val="0023299F"/>
    <w:rsid w:val="00235A81"/>
    <w:rsid w:val="002E360C"/>
    <w:rsid w:val="003243B7"/>
    <w:rsid w:val="00504F64"/>
    <w:rsid w:val="0053680B"/>
    <w:rsid w:val="00567491"/>
    <w:rsid w:val="00623E2B"/>
    <w:rsid w:val="0076167F"/>
    <w:rsid w:val="008700DE"/>
    <w:rsid w:val="008D2D8A"/>
    <w:rsid w:val="009E732D"/>
    <w:rsid w:val="00AA6D7C"/>
    <w:rsid w:val="00B64CBE"/>
    <w:rsid w:val="00B66D2B"/>
    <w:rsid w:val="00D425AC"/>
    <w:rsid w:val="00D93C7C"/>
    <w:rsid w:val="00E23379"/>
    <w:rsid w:val="00EA05F7"/>
    <w:rsid w:val="00FB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29FD7AE"/>
  <w15:chartTrackingRefBased/>
  <w15:docId w15:val="{774839C4-1DA3-4932-B026-5705FB11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3243B7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32"/>
      <w:szCs w:val="32"/>
      <w:lang w:eastAsia="en-GB"/>
    </w:rPr>
  </w:style>
  <w:style w:type="paragraph" w:customStyle="1" w:styleId="msoaddress">
    <w:name w:val="msoaddress"/>
    <w:rsid w:val="003243B7"/>
    <w:pPr>
      <w:spacing w:after="0" w:line="314" w:lineRule="auto"/>
    </w:pPr>
    <w:rPr>
      <w:rFonts w:ascii="Gill Sans MT" w:eastAsia="Times New Roman" w:hAnsi="Gill Sans MT" w:cs="Times New Roman"/>
      <w:color w:val="000000"/>
      <w:kern w:val="28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gates</dc:creator>
  <cp:keywords/>
  <dc:description/>
  <cp:lastModifiedBy>malcolm gates</cp:lastModifiedBy>
  <cp:revision>3</cp:revision>
  <cp:lastPrinted>2022-02-13T17:32:00Z</cp:lastPrinted>
  <dcterms:created xsi:type="dcterms:W3CDTF">2022-02-13T17:33:00Z</dcterms:created>
  <dcterms:modified xsi:type="dcterms:W3CDTF">2022-03-14T19:05:00Z</dcterms:modified>
</cp:coreProperties>
</file>